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南银理财珠联璧合行稳2004半年定开公募人民币理财产品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南银理财珠联璧合行稳2004半年定开公募人民币理财产品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Z7003221000029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2020年04月08日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811,707,709.51</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中诚信托有限责任公司,国投泰康信托有限公司,鑫元基金管理有限公司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Z10027</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818,114,788.59</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1.0078</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1.2111</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Z10027</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今年一季度产品操作稳健偏积极。一季度债券市场走势震荡偏强，利率债区间横盘震荡、信用债则表现亮眼，信用利差持续压缩，其中中短端表现更优。虽然机构对于未来通胀预期抬升、一季度经济数据呈现较好的韧性等有一定担忧，但资金面整体维持宽松，非银流动性也保持充裕，利率债在利空冲击面前波动整体可控。一季度产品运作过程中操作从去年四季度的防守转向积极，把握了利率及二级资本债的交易机会，产品层面提升了杠杆及久期水平以跟上市场涨幅。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份额净值为1.0078</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93.50%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88.24%</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6.50%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11.76%</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284,076,134.63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123,600,390.29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70,103,977.55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24隆博投资PPN002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50,467,450.00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032400796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24胶州城投PPN004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50,434,100.00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24邳投02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40,471,760.00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271126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24湔投01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30,688,920.00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032381130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23阜宁城发PPN002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30,410,820.00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24成兴国资PPN001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30,328,800.00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032501129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25高邮交投PPN001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30,020,700.00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0120090000000381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南京银行行稳2004半年定开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472060.54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40609.85</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2026年03月31日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